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DFE" w:rsidRPr="00393DFE" w:rsidRDefault="0021022B" w:rsidP="005F32B5">
      <w:pPr>
        <w:spacing w:before="100" w:beforeAutospacing="1" w:after="100" w:afterAutospacing="1" w:line="240" w:lineRule="auto"/>
        <w:rPr>
          <w:rFonts w:ascii="Arial" w:eastAsia="Times New Roman" w:hAnsi="Arial" w:cs="Arial"/>
          <w:b/>
        </w:rPr>
      </w:pPr>
      <w:r>
        <w:rPr>
          <w:rFonts w:ascii="Arial" w:eastAsia="Times New Roman" w:hAnsi="Arial" w:cs="Arial"/>
          <w:b/>
        </w:rPr>
        <w:t xml:space="preserve">3. </w:t>
      </w:r>
      <w:bookmarkStart w:id="0" w:name="_GoBack"/>
      <w:bookmarkEnd w:id="0"/>
      <w:r w:rsidR="005F32B5" w:rsidRPr="00393DFE">
        <w:rPr>
          <w:rFonts w:ascii="Arial" w:eastAsia="Times New Roman" w:hAnsi="Arial" w:cs="Arial"/>
          <w:b/>
        </w:rPr>
        <w:t>Analysis of the top 25 transcription factors that are differentially enriched in human versus chimpanzee BDRRs</w:t>
      </w:r>
      <w:r w:rsidR="00393DFE" w:rsidRPr="00393DFE">
        <w:rPr>
          <w:rFonts w:ascii="Arial" w:eastAsia="Times New Roman" w:hAnsi="Arial" w:cs="Arial"/>
          <w:b/>
        </w:rPr>
        <w:t>.</w:t>
      </w:r>
    </w:p>
    <w:p w:rsidR="005F32B5" w:rsidRDefault="00393DFE" w:rsidP="005F32B5">
      <w:pPr>
        <w:spacing w:before="100" w:beforeAutospacing="1" w:after="100" w:afterAutospacing="1" w:line="240" w:lineRule="auto"/>
        <w:rPr>
          <w:rFonts w:ascii="Arial" w:eastAsia="Times New Roman" w:hAnsi="Arial" w:cs="Arial"/>
        </w:rPr>
      </w:pPr>
      <w:r>
        <w:rPr>
          <w:rFonts w:ascii="Arial" w:eastAsia="Times New Roman" w:hAnsi="Arial" w:cs="Arial"/>
        </w:rPr>
        <w:t>Explorations of</w:t>
      </w:r>
      <w:r w:rsidR="005F32B5" w:rsidRPr="005F32B5">
        <w:rPr>
          <w:rFonts w:ascii="Arial" w:eastAsia="Times New Roman" w:hAnsi="Arial" w:cs="Arial"/>
        </w:rPr>
        <w:t xml:space="preserve"> </w:t>
      </w:r>
      <w:r>
        <w:rPr>
          <w:rFonts w:ascii="Arial" w:eastAsia="Times New Roman" w:hAnsi="Arial" w:cs="Arial"/>
        </w:rPr>
        <w:t>the</w:t>
      </w:r>
      <w:r w:rsidR="005F32B5" w:rsidRPr="005F32B5">
        <w:rPr>
          <w:rFonts w:ascii="Arial" w:eastAsia="Times New Roman" w:hAnsi="Arial" w:cs="Arial"/>
        </w:rPr>
        <w:t xml:space="preserve"> roles </w:t>
      </w:r>
      <w:r>
        <w:rPr>
          <w:rFonts w:ascii="Arial" w:eastAsia="Times New Roman" w:hAnsi="Arial" w:cs="Arial"/>
        </w:rPr>
        <w:t xml:space="preserve">of the top 25 human BDRR-enriched TFs </w:t>
      </w:r>
      <w:r w:rsidR="005F32B5" w:rsidRPr="005F32B5">
        <w:rPr>
          <w:rFonts w:ascii="Arial" w:eastAsia="Times New Roman" w:hAnsi="Arial" w:cs="Arial"/>
        </w:rPr>
        <w:t>in brain development revealed</w:t>
      </w:r>
      <w:r w:rsidR="00201DC1" w:rsidRPr="005F32B5">
        <w:rPr>
          <w:rFonts w:ascii="Arial" w:eastAsia="Times New Roman" w:hAnsi="Arial" w:cs="Arial"/>
        </w:rPr>
        <w:t xml:space="preserve"> their potential impact</w:t>
      </w:r>
      <w:r w:rsidR="005F32B5" w:rsidRPr="005F32B5">
        <w:rPr>
          <w:rFonts w:ascii="Arial" w:eastAsia="Times New Roman" w:hAnsi="Arial" w:cs="Arial"/>
        </w:rPr>
        <w:t>s on the regulatory networks governing development of identified 202 brain regions</w:t>
      </w:r>
      <w:r>
        <w:rPr>
          <w:rFonts w:ascii="Arial" w:eastAsia="Times New Roman" w:hAnsi="Arial" w:cs="Arial"/>
        </w:rPr>
        <w:t xml:space="preserve"> in 3 main areas: </w:t>
      </w:r>
      <w:proofErr w:type="spellStart"/>
      <w:r>
        <w:rPr>
          <w:rFonts w:ascii="Arial" w:eastAsia="Times New Roman" w:hAnsi="Arial" w:cs="Arial"/>
        </w:rPr>
        <w:t>i</w:t>
      </w:r>
      <w:proofErr w:type="spellEnd"/>
      <w:r>
        <w:rPr>
          <w:rFonts w:ascii="Arial" w:eastAsia="Times New Roman" w:hAnsi="Arial" w:cs="Arial"/>
        </w:rPr>
        <w:t>) Masters regulators of cell fate; ii) Regulators of regional specialization and Individual cell-type s</w:t>
      </w:r>
      <w:r w:rsidRPr="00393DFE">
        <w:rPr>
          <w:rFonts w:ascii="Arial" w:eastAsia="Times New Roman" w:hAnsi="Arial" w:cs="Arial"/>
        </w:rPr>
        <w:t>pecification</w:t>
      </w:r>
      <w:r>
        <w:rPr>
          <w:rFonts w:ascii="Arial" w:eastAsia="Times New Roman" w:hAnsi="Arial" w:cs="Arial"/>
        </w:rPr>
        <w:t>; iii) Regulatory cross-t</w:t>
      </w:r>
      <w:r w:rsidRPr="00393DFE">
        <w:rPr>
          <w:rFonts w:ascii="Arial" w:eastAsia="Times New Roman" w:hAnsi="Arial" w:cs="Arial"/>
        </w:rPr>
        <w:t>alk</w:t>
      </w:r>
      <w:r>
        <w:rPr>
          <w:rFonts w:ascii="Arial" w:eastAsia="Times New Roman" w:hAnsi="Arial" w:cs="Arial"/>
        </w:rPr>
        <w:t>s to h</w:t>
      </w:r>
      <w:r w:rsidRPr="00393DFE">
        <w:rPr>
          <w:rFonts w:ascii="Arial" w:eastAsia="Times New Roman" w:hAnsi="Arial" w:cs="Arial"/>
        </w:rPr>
        <w:t xml:space="preserve">omeostasis </w:t>
      </w:r>
      <w:r>
        <w:rPr>
          <w:rFonts w:ascii="Arial" w:eastAsia="Times New Roman" w:hAnsi="Arial" w:cs="Arial"/>
        </w:rPr>
        <w:t>control and stress r</w:t>
      </w:r>
      <w:r w:rsidRPr="00393DFE">
        <w:rPr>
          <w:rFonts w:ascii="Arial" w:eastAsia="Times New Roman" w:hAnsi="Arial" w:cs="Arial"/>
        </w:rPr>
        <w:t>esponse</w:t>
      </w:r>
      <w:r w:rsidR="00267EE5">
        <w:rPr>
          <w:rFonts w:ascii="Arial" w:eastAsia="Times New Roman" w:hAnsi="Arial" w:cs="Arial"/>
        </w:rPr>
        <w:t>s</w:t>
      </w:r>
      <w:r>
        <w:rPr>
          <w:rFonts w:ascii="Arial" w:eastAsia="Times New Roman" w:hAnsi="Arial" w:cs="Arial"/>
        </w:rPr>
        <w:t xml:space="preserve">. </w:t>
      </w:r>
    </w:p>
    <w:p w:rsidR="00201DC1" w:rsidRPr="005F32B5" w:rsidRDefault="00201DC1" w:rsidP="00201DC1">
      <w:pPr>
        <w:spacing w:before="100" w:beforeAutospacing="1" w:after="100" w:afterAutospacing="1" w:line="240" w:lineRule="auto"/>
        <w:rPr>
          <w:rFonts w:ascii="Arial" w:eastAsia="Times New Roman" w:hAnsi="Arial" w:cs="Arial"/>
        </w:rPr>
      </w:pPr>
      <w:r w:rsidRPr="005F32B5">
        <w:rPr>
          <w:rFonts w:ascii="Arial" w:eastAsia="Times New Roman" w:hAnsi="Arial" w:cs="Arial"/>
          <w:b/>
          <w:bCs/>
        </w:rPr>
        <w:t>Master Regulators of Cell Fate</w:t>
      </w:r>
      <w:r w:rsidR="005F32B5" w:rsidRPr="005F32B5">
        <w:rPr>
          <w:rFonts w:ascii="Arial" w:eastAsia="Times New Roman" w:hAnsi="Arial" w:cs="Arial"/>
          <w:bCs/>
        </w:rPr>
        <w:t xml:space="preserve"> comprise one group of the top 25 human BDRR-enriched TFs. </w:t>
      </w:r>
      <w:r w:rsidRPr="005F32B5">
        <w:rPr>
          <w:rFonts w:ascii="Arial" w:eastAsia="Times New Roman" w:hAnsi="Arial" w:cs="Arial"/>
        </w:rPr>
        <w:t xml:space="preserve">This group </w:t>
      </w:r>
      <w:r w:rsidR="005F32B5">
        <w:rPr>
          <w:rFonts w:ascii="Arial" w:eastAsia="Times New Roman" w:hAnsi="Arial" w:cs="Arial"/>
        </w:rPr>
        <w:t>includes TFs</w:t>
      </w:r>
      <w:r w:rsidRPr="005F32B5">
        <w:rPr>
          <w:rFonts w:ascii="Arial" w:eastAsia="Times New Roman" w:hAnsi="Arial" w:cs="Arial"/>
        </w:rPr>
        <w:t xml:space="preserve"> that are foundational to the earliest stages of embryonic development. Their </w:t>
      </w:r>
      <w:r w:rsidR="005F32B5">
        <w:rPr>
          <w:rFonts w:ascii="Arial" w:eastAsia="Times New Roman" w:hAnsi="Arial" w:cs="Arial"/>
        </w:rPr>
        <w:t>main functions are</w:t>
      </w:r>
      <w:r w:rsidRPr="005F32B5">
        <w:rPr>
          <w:rFonts w:ascii="Arial" w:eastAsia="Times New Roman" w:hAnsi="Arial" w:cs="Arial"/>
        </w:rPr>
        <w:t xml:space="preserve"> not specific to a single</w:t>
      </w:r>
      <w:r w:rsidR="005F32B5">
        <w:rPr>
          <w:rFonts w:ascii="Arial" w:eastAsia="Times New Roman" w:hAnsi="Arial" w:cs="Arial"/>
        </w:rPr>
        <w:t xml:space="preserve"> brain region but rather govern</w:t>
      </w:r>
      <w:r w:rsidRPr="005F32B5">
        <w:rPr>
          <w:rFonts w:ascii="Arial" w:eastAsia="Times New Roman" w:hAnsi="Arial" w:cs="Arial"/>
        </w:rPr>
        <w:t xml:space="preserve"> the fundamental blueprint for the entire nervous system</w:t>
      </w:r>
      <w:r w:rsidR="00586F11">
        <w:rPr>
          <w:rFonts w:ascii="Arial" w:eastAsia="Times New Roman" w:hAnsi="Arial" w:cs="Arial"/>
        </w:rPr>
        <w:t xml:space="preserve"> development</w:t>
      </w:r>
      <w:r w:rsidRPr="005F32B5">
        <w:rPr>
          <w:rFonts w:ascii="Arial" w:eastAsia="Times New Roman" w:hAnsi="Arial" w:cs="Arial"/>
        </w:rPr>
        <w:t>. Any dysre</w:t>
      </w:r>
      <w:r w:rsidR="00586F11">
        <w:rPr>
          <w:rFonts w:ascii="Arial" w:eastAsia="Times New Roman" w:hAnsi="Arial" w:cs="Arial"/>
        </w:rPr>
        <w:t>gulation within this group of TFs</w:t>
      </w:r>
      <w:r w:rsidRPr="005F32B5">
        <w:rPr>
          <w:rFonts w:ascii="Arial" w:eastAsia="Times New Roman" w:hAnsi="Arial" w:cs="Arial"/>
        </w:rPr>
        <w:t xml:space="preserve"> would have catastrophic, widespread effects</w:t>
      </w:r>
      <w:r w:rsidR="00586F11">
        <w:rPr>
          <w:rFonts w:ascii="Arial" w:eastAsia="Times New Roman" w:hAnsi="Arial" w:cs="Arial"/>
        </w:rPr>
        <w:t xml:space="preserve"> often resulting in embryonic lethality phenotypes</w:t>
      </w:r>
      <w:r w:rsidRPr="005F32B5">
        <w:rPr>
          <w:rFonts w:ascii="Arial" w:eastAsia="Times New Roman" w:hAnsi="Arial" w:cs="Arial"/>
        </w:rPr>
        <w:t>.</w:t>
      </w:r>
    </w:p>
    <w:p w:rsidR="00201DC1" w:rsidRPr="005F32B5" w:rsidRDefault="00586F11" w:rsidP="00586F11">
      <w:pPr>
        <w:spacing w:before="100" w:beforeAutospacing="1" w:after="100" w:afterAutospacing="1" w:line="240" w:lineRule="auto"/>
        <w:rPr>
          <w:rFonts w:ascii="Arial" w:eastAsia="Times New Roman" w:hAnsi="Arial" w:cs="Arial"/>
        </w:rPr>
      </w:pPr>
      <w:r>
        <w:rPr>
          <w:rFonts w:ascii="Arial" w:eastAsia="Times New Roman" w:hAnsi="Arial" w:cs="Arial"/>
          <w:b/>
          <w:bCs/>
        </w:rPr>
        <w:t>SOX2 and POU5F1</w:t>
      </w:r>
      <w:r w:rsidR="00201DC1" w:rsidRPr="005F32B5">
        <w:rPr>
          <w:rFonts w:ascii="Arial" w:eastAsia="Times New Roman" w:hAnsi="Arial" w:cs="Arial"/>
        </w:rPr>
        <w:t xml:space="preserve">, along with NANOG, form the core pluripotency network in embryonic stem cells. Their primary role is to maintain the cell's ability to become any cell type in the body. </w:t>
      </w:r>
      <w:r w:rsidR="00201DC1" w:rsidRPr="005F32B5">
        <w:rPr>
          <w:rFonts w:ascii="Arial" w:eastAsia="Times New Roman" w:hAnsi="Arial" w:cs="Arial"/>
          <w:b/>
          <w:bCs/>
        </w:rPr>
        <w:t>SOX2</w:t>
      </w:r>
      <w:r w:rsidR="00201DC1" w:rsidRPr="005F32B5">
        <w:rPr>
          <w:rFonts w:ascii="Arial" w:eastAsia="Times New Roman" w:hAnsi="Arial" w:cs="Arial"/>
        </w:rPr>
        <w:t xml:space="preserve"> is a master regulator of neural progenitor cells throughout development, ensuring the formation of the central nervous system (CNS).</w:t>
      </w:r>
    </w:p>
    <w:p w:rsidR="00201DC1" w:rsidRPr="00201DC1" w:rsidRDefault="00201DC1" w:rsidP="00201DC1">
      <w:pPr>
        <w:spacing w:after="0" w:line="240" w:lineRule="auto"/>
        <w:ind w:left="720"/>
        <w:rPr>
          <w:rFonts w:ascii="Times New Roman" w:eastAsia="Times New Roman" w:hAnsi="Times New Roman" w:cs="Times New Roman"/>
          <w:sz w:val="24"/>
          <w:szCs w:val="24"/>
        </w:rPr>
      </w:pPr>
      <w:r w:rsidRPr="00201DC1">
        <w:rPr>
          <w:rFonts w:ascii="Times New Roman" w:eastAsia="Times New Roman" w:hAnsi="Times New Roman" w:cs="Times New Roman"/>
          <w:noProof/>
          <w:sz w:val="24"/>
          <w:szCs w:val="24"/>
        </w:rPr>
        <w:drawing>
          <wp:inline distT="0" distB="0" distL="0" distR="0">
            <wp:extent cx="6156960" cy="4845265"/>
            <wp:effectExtent l="0" t="0" r="0" b="0"/>
            <wp:docPr id="1" name="Picture 1" descr="Image of a developing neural 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a developing neural tub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70932" cy="4856260"/>
                    </a:xfrm>
                    <a:prstGeom prst="rect">
                      <a:avLst/>
                    </a:prstGeom>
                    <a:noFill/>
                    <a:ln>
                      <a:noFill/>
                    </a:ln>
                  </pic:spPr>
                </pic:pic>
              </a:graphicData>
            </a:graphic>
          </wp:inline>
        </w:drawing>
      </w:r>
    </w:p>
    <w:p w:rsidR="00201DC1" w:rsidRPr="00201DC1" w:rsidRDefault="00201DC1" w:rsidP="00201DC1">
      <w:pPr>
        <w:spacing w:after="0" w:line="240" w:lineRule="auto"/>
        <w:ind w:left="720"/>
        <w:rPr>
          <w:rFonts w:ascii="Times New Roman" w:eastAsia="Times New Roman" w:hAnsi="Times New Roman" w:cs="Times New Roman"/>
          <w:sz w:val="24"/>
          <w:szCs w:val="24"/>
        </w:rPr>
      </w:pPr>
      <w:r w:rsidRPr="00201DC1">
        <w:rPr>
          <w:rFonts w:ascii="Times New Roman" w:eastAsia="Times New Roman" w:hAnsi="Times New Roman" w:cs="Times New Roman"/>
          <w:sz w:val="24"/>
          <w:szCs w:val="24"/>
        </w:rPr>
        <w:t>Licensed by Google</w:t>
      </w:r>
    </w:p>
    <w:p w:rsidR="00201DC1" w:rsidRPr="00586F11" w:rsidRDefault="00586F11" w:rsidP="00586F11">
      <w:pPr>
        <w:spacing w:before="100" w:beforeAutospacing="1" w:after="100" w:afterAutospacing="1" w:line="240" w:lineRule="auto"/>
        <w:rPr>
          <w:rFonts w:ascii="Arial" w:eastAsia="Times New Roman" w:hAnsi="Arial" w:cs="Arial"/>
        </w:rPr>
      </w:pPr>
      <w:r w:rsidRPr="00586F11">
        <w:rPr>
          <w:rFonts w:ascii="Arial" w:eastAsia="Times New Roman" w:hAnsi="Arial" w:cs="Arial"/>
        </w:rPr>
        <w:t>C</w:t>
      </w:r>
      <w:r w:rsidR="00201DC1" w:rsidRPr="00586F11">
        <w:rPr>
          <w:rFonts w:ascii="Arial" w:eastAsia="Times New Roman" w:hAnsi="Arial" w:cs="Arial"/>
        </w:rPr>
        <w:t xml:space="preserve">ontinued </w:t>
      </w:r>
      <w:r w:rsidRPr="00586F11">
        <w:rPr>
          <w:rFonts w:ascii="Arial" w:eastAsia="Times New Roman" w:hAnsi="Arial" w:cs="Arial"/>
        </w:rPr>
        <w:t xml:space="preserve">SOX2 </w:t>
      </w:r>
      <w:r w:rsidR="00201DC1" w:rsidRPr="00586F11">
        <w:rPr>
          <w:rFonts w:ascii="Arial" w:eastAsia="Times New Roman" w:hAnsi="Arial" w:cs="Arial"/>
        </w:rPr>
        <w:t xml:space="preserve">expression marks the progenitor state, allowing for the generation of neurons and glial cells in a coordinated manner. </w:t>
      </w:r>
      <w:r w:rsidR="00201DC1" w:rsidRPr="00586F11">
        <w:rPr>
          <w:rFonts w:ascii="Arial" w:eastAsia="Times New Roman" w:hAnsi="Arial" w:cs="Arial"/>
          <w:b/>
          <w:bCs/>
        </w:rPr>
        <w:t>POU5F1</w:t>
      </w:r>
      <w:r w:rsidRPr="00586F11">
        <w:rPr>
          <w:rFonts w:ascii="Arial" w:eastAsia="Times New Roman" w:hAnsi="Arial" w:cs="Arial"/>
        </w:rPr>
        <w:t xml:space="preserve"> (OCT4) is</w:t>
      </w:r>
      <w:r w:rsidR="00201DC1" w:rsidRPr="00586F11">
        <w:rPr>
          <w:rFonts w:ascii="Arial" w:eastAsia="Times New Roman" w:hAnsi="Arial" w:cs="Arial"/>
        </w:rPr>
        <w:t xml:space="preserve"> associated with early pluripotency and is typically downregulated as cells begin to differentiate. An improper shutdown of POU5F1 in neural precursors could lead to </w:t>
      </w:r>
      <w:proofErr w:type="spellStart"/>
      <w:r w:rsidR="00201DC1" w:rsidRPr="00586F11">
        <w:rPr>
          <w:rFonts w:ascii="Arial" w:eastAsia="Times New Roman" w:hAnsi="Arial" w:cs="Arial"/>
        </w:rPr>
        <w:t>teratoma</w:t>
      </w:r>
      <w:proofErr w:type="spellEnd"/>
      <w:r w:rsidR="00201DC1" w:rsidRPr="00586F11">
        <w:rPr>
          <w:rFonts w:ascii="Arial" w:eastAsia="Times New Roman" w:hAnsi="Arial" w:cs="Arial"/>
        </w:rPr>
        <w:t xml:space="preserve"> formation or a failure to generate a functional nervous system.</w:t>
      </w:r>
      <w:r w:rsidRPr="00586F11">
        <w:rPr>
          <w:rFonts w:ascii="Arial" w:eastAsia="Times New Roman" w:hAnsi="Arial" w:cs="Arial"/>
        </w:rPr>
        <w:t xml:space="preserve"> </w:t>
      </w:r>
      <w:r w:rsidRPr="00586F11">
        <w:rPr>
          <w:rFonts w:ascii="Arial" w:eastAsia="Times New Roman" w:hAnsi="Arial" w:cs="Arial"/>
          <w:b/>
          <w:bCs/>
        </w:rPr>
        <w:t>OTX2</w:t>
      </w:r>
      <w:r w:rsidR="00201DC1" w:rsidRPr="00586F11">
        <w:rPr>
          <w:rFonts w:ascii="Arial" w:eastAsia="Times New Roman" w:hAnsi="Arial" w:cs="Arial"/>
        </w:rPr>
        <w:t xml:space="preserve"> is crucial for defining the boundary between the midbrain and forebrain, including the developing limbic system. It acts as a "selector gene," ensuring that cells in the rostral neural tube take on a forebrain identity. OTX2 also plays a role in the </w:t>
      </w:r>
      <w:r w:rsidR="00201DC1" w:rsidRPr="00586F11">
        <w:rPr>
          <w:rFonts w:ascii="Arial" w:eastAsia="Times New Roman" w:hAnsi="Arial" w:cs="Arial"/>
        </w:rPr>
        <w:lastRenderedPageBreak/>
        <w:t xml:space="preserve">specification of specific midbrain neuronal populations, including dopaminergic neurons. A disruption here would directly impact the formation and function of the </w:t>
      </w:r>
      <w:r w:rsidR="00201DC1" w:rsidRPr="00586F11">
        <w:rPr>
          <w:rFonts w:ascii="Arial" w:eastAsia="Times New Roman" w:hAnsi="Arial" w:cs="Arial"/>
          <w:b/>
          <w:bCs/>
        </w:rPr>
        <w:t xml:space="preserve">substantia </w:t>
      </w:r>
      <w:proofErr w:type="spellStart"/>
      <w:r w:rsidR="00201DC1" w:rsidRPr="00586F11">
        <w:rPr>
          <w:rFonts w:ascii="Arial" w:eastAsia="Times New Roman" w:hAnsi="Arial" w:cs="Arial"/>
          <w:b/>
          <w:bCs/>
        </w:rPr>
        <w:t>nigra</w:t>
      </w:r>
      <w:proofErr w:type="spellEnd"/>
      <w:r w:rsidR="00201DC1" w:rsidRPr="00586F11">
        <w:rPr>
          <w:rFonts w:ascii="Arial" w:eastAsia="Times New Roman" w:hAnsi="Arial" w:cs="Arial"/>
        </w:rPr>
        <w:t xml:space="preserve"> and other midbrain structures.</w:t>
      </w:r>
    </w:p>
    <w:p w:rsidR="00201DC1" w:rsidRPr="00586F11" w:rsidRDefault="00393DFE" w:rsidP="00201DC1">
      <w:pPr>
        <w:spacing w:before="100" w:beforeAutospacing="1" w:after="100" w:afterAutospacing="1" w:line="240" w:lineRule="auto"/>
        <w:outlineLvl w:val="1"/>
        <w:rPr>
          <w:rFonts w:ascii="Arial" w:eastAsia="Times New Roman" w:hAnsi="Arial" w:cs="Arial"/>
          <w:b/>
          <w:bCs/>
        </w:rPr>
      </w:pPr>
      <w:r>
        <w:rPr>
          <w:rFonts w:ascii="Arial" w:eastAsia="Times New Roman" w:hAnsi="Arial" w:cs="Arial"/>
          <w:b/>
          <w:bCs/>
        </w:rPr>
        <w:t>Regulators of Regional Specialization and</w:t>
      </w:r>
      <w:r w:rsidR="00201DC1" w:rsidRPr="00586F11">
        <w:rPr>
          <w:rFonts w:ascii="Arial" w:eastAsia="Times New Roman" w:hAnsi="Arial" w:cs="Arial"/>
          <w:b/>
          <w:bCs/>
        </w:rPr>
        <w:t xml:space="preserve"> </w:t>
      </w:r>
      <w:r>
        <w:rPr>
          <w:rFonts w:ascii="Arial" w:eastAsia="Times New Roman" w:hAnsi="Arial" w:cs="Arial"/>
          <w:b/>
          <w:bCs/>
        </w:rPr>
        <w:t xml:space="preserve">Individual </w:t>
      </w:r>
      <w:r w:rsidR="00201DC1" w:rsidRPr="00586F11">
        <w:rPr>
          <w:rFonts w:ascii="Arial" w:eastAsia="Times New Roman" w:hAnsi="Arial" w:cs="Arial"/>
          <w:b/>
          <w:bCs/>
        </w:rPr>
        <w:t>Cell-Type Specification</w:t>
      </w:r>
    </w:p>
    <w:p w:rsidR="00201DC1" w:rsidRPr="00586F11" w:rsidRDefault="00201DC1" w:rsidP="00201DC1">
      <w:pPr>
        <w:spacing w:before="100" w:beforeAutospacing="1" w:after="100" w:afterAutospacing="1" w:line="240" w:lineRule="auto"/>
        <w:rPr>
          <w:rFonts w:ascii="Arial" w:eastAsia="Times New Roman" w:hAnsi="Arial" w:cs="Arial"/>
        </w:rPr>
      </w:pPr>
      <w:r w:rsidRPr="00586F11">
        <w:rPr>
          <w:rFonts w:ascii="Arial" w:eastAsia="Times New Roman" w:hAnsi="Arial" w:cs="Arial"/>
        </w:rPr>
        <w:t>These transcription factors are active later in development, guiding the differentiation of progenitor cells into specific types of neurons and glia, and dictating the identity of distinct brain regions.</w:t>
      </w:r>
    </w:p>
    <w:p w:rsidR="00CD7823" w:rsidRDefault="00201DC1" w:rsidP="00CD7823">
      <w:pPr>
        <w:spacing w:before="100" w:beforeAutospacing="1" w:after="100" w:afterAutospacing="1" w:line="240" w:lineRule="auto"/>
        <w:rPr>
          <w:rFonts w:ascii="Arial" w:eastAsia="Times New Roman" w:hAnsi="Arial" w:cs="Arial"/>
        </w:rPr>
      </w:pPr>
      <w:r w:rsidRPr="00586F11">
        <w:rPr>
          <w:rFonts w:ascii="Arial" w:eastAsia="Times New Roman" w:hAnsi="Arial" w:cs="Arial"/>
          <w:b/>
          <w:bCs/>
        </w:rPr>
        <w:t>LHX2 &amp; LHX9:</w:t>
      </w:r>
      <w:r w:rsidRPr="00586F11">
        <w:rPr>
          <w:rFonts w:ascii="Arial" w:eastAsia="Times New Roman" w:hAnsi="Arial" w:cs="Arial"/>
        </w:rPr>
        <w:t xml:space="preserve"> Members of the LIM-homeodomain family, these TFs are critical for the formation of the forebrain and its intricate structures. </w:t>
      </w:r>
      <w:r w:rsidRPr="00586F11">
        <w:rPr>
          <w:rFonts w:ascii="Arial" w:eastAsia="Times New Roman" w:hAnsi="Arial" w:cs="Arial"/>
          <w:b/>
          <w:bCs/>
        </w:rPr>
        <w:t>LHX2</w:t>
      </w:r>
      <w:r w:rsidRPr="00586F11">
        <w:rPr>
          <w:rFonts w:ascii="Arial" w:eastAsia="Times New Roman" w:hAnsi="Arial" w:cs="Arial"/>
        </w:rPr>
        <w:t xml:space="preserve"> is a key "selector gene" for the cerebral cortex and hippocampus. It not only promotes a cortical fate but also actively suppresses the formation of non-cortical structures. It's particularly important for the proper timing of the neuron-glia cell fate switch in the hippocampus, a brain region central to the emotional and memory networks we have previously analyzed. </w:t>
      </w:r>
      <w:r w:rsidRPr="00586F11">
        <w:rPr>
          <w:rFonts w:ascii="Arial" w:eastAsia="Times New Roman" w:hAnsi="Arial" w:cs="Arial"/>
          <w:b/>
          <w:bCs/>
        </w:rPr>
        <w:t>LHX9</w:t>
      </w:r>
      <w:r w:rsidRPr="00586F11">
        <w:rPr>
          <w:rFonts w:ascii="Arial" w:eastAsia="Times New Roman" w:hAnsi="Arial" w:cs="Arial"/>
        </w:rPr>
        <w:t xml:space="preserve"> has a more limited role but is also involved in diencephalic (thalamus) and </w:t>
      </w:r>
      <w:proofErr w:type="spellStart"/>
      <w:r w:rsidRPr="00586F11">
        <w:rPr>
          <w:rFonts w:ascii="Arial" w:eastAsia="Times New Roman" w:hAnsi="Arial" w:cs="Arial"/>
        </w:rPr>
        <w:t>telencephalic</w:t>
      </w:r>
      <w:proofErr w:type="spellEnd"/>
      <w:r w:rsidRPr="00586F11">
        <w:rPr>
          <w:rFonts w:ascii="Arial" w:eastAsia="Times New Roman" w:hAnsi="Arial" w:cs="Arial"/>
        </w:rPr>
        <w:t xml:space="preserve"> (limbic system) development.</w:t>
      </w:r>
    </w:p>
    <w:p w:rsidR="00201DC1" w:rsidRPr="00586F11" w:rsidRDefault="00201DC1" w:rsidP="00CD7823">
      <w:pPr>
        <w:spacing w:before="100" w:beforeAutospacing="1" w:after="100" w:afterAutospacing="1" w:line="240" w:lineRule="auto"/>
        <w:rPr>
          <w:rFonts w:ascii="Arial" w:eastAsia="Times New Roman" w:hAnsi="Arial" w:cs="Arial"/>
        </w:rPr>
      </w:pPr>
      <w:r w:rsidRPr="00586F11">
        <w:rPr>
          <w:rFonts w:ascii="Arial" w:eastAsia="Times New Roman" w:hAnsi="Arial" w:cs="Arial"/>
          <w:b/>
          <w:bCs/>
        </w:rPr>
        <w:t>PHOX2B:</w:t>
      </w:r>
      <w:r w:rsidRPr="00586F11">
        <w:rPr>
          <w:rFonts w:ascii="Arial" w:eastAsia="Times New Roman" w:hAnsi="Arial" w:cs="Arial"/>
        </w:rPr>
        <w:t xml:space="preserve"> This is a classic example of a TF with a very specific role. PHOX2B is essential for the development of autonomic neurons, including those in the brainstem that regulate breathing, heart rate, and blood pressure. While not directly a regulator of the limbic system, its dysfunction leads to autonomic nervous system disorders. Its role in the enteric nervous system also provides a direct link to the </w:t>
      </w:r>
      <w:r w:rsidRPr="00586F11">
        <w:rPr>
          <w:rFonts w:ascii="Arial" w:eastAsia="Times New Roman" w:hAnsi="Arial" w:cs="Arial"/>
          <w:b/>
          <w:bCs/>
        </w:rPr>
        <w:t>gut-brain axis</w:t>
      </w:r>
      <w:r w:rsidRPr="00586F11">
        <w:rPr>
          <w:rFonts w:ascii="Arial" w:eastAsia="Times New Roman" w:hAnsi="Arial" w:cs="Arial"/>
        </w:rPr>
        <w:t>, which is increasingly recognized as a key player in neurological and emotional health.</w:t>
      </w:r>
    </w:p>
    <w:p w:rsidR="00201DC1" w:rsidRPr="00586F11" w:rsidRDefault="00201DC1" w:rsidP="00CD7823">
      <w:pPr>
        <w:spacing w:before="100" w:beforeAutospacing="1" w:after="100" w:afterAutospacing="1" w:line="240" w:lineRule="auto"/>
        <w:rPr>
          <w:rFonts w:ascii="Arial" w:eastAsia="Times New Roman" w:hAnsi="Arial" w:cs="Arial"/>
        </w:rPr>
      </w:pPr>
      <w:r w:rsidRPr="00586F11">
        <w:rPr>
          <w:rFonts w:ascii="Arial" w:eastAsia="Times New Roman" w:hAnsi="Arial" w:cs="Arial"/>
          <w:b/>
          <w:bCs/>
        </w:rPr>
        <w:t>ISL1, EOMES, &amp; CDX2:</w:t>
      </w:r>
      <w:r w:rsidRPr="00586F11">
        <w:rPr>
          <w:rFonts w:ascii="Arial" w:eastAsia="Times New Roman" w:hAnsi="Arial" w:cs="Arial"/>
        </w:rPr>
        <w:t xml:space="preserve"> These TFs guide the differentiation of specific cell lineages. </w:t>
      </w:r>
      <w:r w:rsidRPr="00586F11">
        <w:rPr>
          <w:rFonts w:ascii="Arial" w:eastAsia="Times New Roman" w:hAnsi="Arial" w:cs="Arial"/>
          <w:b/>
          <w:bCs/>
        </w:rPr>
        <w:t>ISL1</w:t>
      </w:r>
      <w:r w:rsidRPr="00586F11">
        <w:rPr>
          <w:rFonts w:ascii="Arial" w:eastAsia="Times New Roman" w:hAnsi="Arial" w:cs="Arial"/>
        </w:rPr>
        <w:t xml:space="preserve"> is involved in motor neuron and sensory neuron development and can also be found in some interneurons within the central nervous system. </w:t>
      </w:r>
      <w:r w:rsidRPr="00586F11">
        <w:rPr>
          <w:rFonts w:ascii="Arial" w:eastAsia="Times New Roman" w:hAnsi="Arial" w:cs="Arial"/>
          <w:b/>
          <w:bCs/>
        </w:rPr>
        <w:t>EOMES</w:t>
      </w:r>
      <w:r w:rsidRPr="00586F11">
        <w:rPr>
          <w:rFonts w:ascii="Arial" w:eastAsia="Times New Roman" w:hAnsi="Arial" w:cs="Arial"/>
        </w:rPr>
        <w:t xml:space="preserve"> (Tbr2) is a key regulator of intermediate neural progenitors, which are critical for generating a large number of cortical projection neurons. </w:t>
      </w:r>
      <w:r w:rsidRPr="00586F11">
        <w:rPr>
          <w:rFonts w:ascii="Arial" w:eastAsia="Times New Roman" w:hAnsi="Arial" w:cs="Arial"/>
          <w:b/>
          <w:bCs/>
        </w:rPr>
        <w:t>CDX2</w:t>
      </w:r>
      <w:r w:rsidRPr="00586F11">
        <w:rPr>
          <w:rFonts w:ascii="Arial" w:eastAsia="Times New Roman" w:hAnsi="Arial" w:cs="Arial"/>
        </w:rPr>
        <w:t xml:space="preserve"> is primarily a master regulator of posterior-to-anterior embryonic axis formation and gut development, providing another link to the gut-brain axis.</w:t>
      </w:r>
    </w:p>
    <w:p w:rsidR="00201DC1" w:rsidRPr="00586F11" w:rsidRDefault="00393DFE" w:rsidP="00201DC1">
      <w:pPr>
        <w:spacing w:before="100" w:beforeAutospacing="1" w:after="100" w:afterAutospacing="1" w:line="240" w:lineRule="auto"/>
        <w:outlineLvl w:val="1"/>
        <w:rPr>
          <w:rFonts w:ascii="Arial" w:eastAsia="Times New Roman" w:hAnsi="Arial" w:cs="Arial"/>
          <w:b/>
          <w:bCs/>
        </w:rPr>
      </w:pPr>
      <w:r>
        <w:rPr>
          <w:rFonts w:ascii="Arial" w:eastAsia="Times New Roman" w:hAnsi="Arial" w:cs="Arial"/>
          <w:b/>
          <w:bCs/>
        </w:rPr>
        <w:t>Regulatory Cross-Talk</w:t>
      </w:r>
      <w:r w:rsidR="00201DC1" w:rsidRPr="00586F11">
        <w:rPr>
          <w:rFonts w:ascii="Arial" w:eastAsia="Times New Roman" w:hAnsi="Arial" w:cs="Arial"/>
          <w:b/>
          <w:bCs/>
        </w:rPr>
        <w:t xml:space="preserve"> to Homeostasis </w:t>
      </w:r>
      <w:r w:rsidR="007B6973">
        <w:rPr>
          <w:rFonts w:ascii="Arial" w:eastAsia="Times New Roman" w:hAnsi="Arial" w:cs="Arial"/>
          <w:b/>
          <w:bCs/>
        </w:rPr>
        <w:t xml:space="preserve">Control </w:t>
      </w:r>
      <w:r w:rsidR="00201DC1" w:rsidRPr="00586F11">
        <w:rPr>
          <w:rFonts w:ascii="Arial" w:eastAsia="Times New Roman" w:hAnsi="Arial" w:cs="Arial"/>
          <w:b/>
          <w:bCs/>
        </w:rPr>
        <w:t>and Stress Response</w:t>
      </w:r>
    </w:p>
    <w:p w:rsidR="00201DC1" w:rsidRPr="00586F11" w:rsidRDefault="00201DC1" w:rsidP="00201DC1">
      <w:pPr>
        <w:spacing w:before="100" w:beforeAutospacing="1" w:after="100" w:afterAutospacing="1" w:line="240" w:lineRule="auto"/>
        <w:rPr>
          <w:rFonts w:ascii="Arial" w:eastAsia="Times New Roman" w:hAnsi="Arial" w:cs="Arial"/>
        </w:rPr>
      </w:pPr>
      <w:r w:rsidRPr="00586F11">
        <w:rPr>
          <w:rFonts w:ascii="Arial" w:eastAsia="Times New Roman" w:hAnsi="Arial" w:cs="Arial"/>
        </w:rPr>
        <w:t>This group of transcription factors has dual roles, operating in both developmental contexts and in the mature, functioning brain, where they interact with the homeostatic networks we've been analyzing.</w:t>
      </w:r>
    </w:p>
    <w:p w:rsidR="00CD7823" w:rsidRDefault="00201DC1" w:rsidP="00CD7823">
      <w:pPr>
        <w:spacing w:before="100" w:beforeAutospacing="1" w:after="100" w:afterAutospacing="1" w:line="240" w:lineRule="auto"/>
        <w:rPr>
          <w:rFonts w:ascii="Arial" w:eastAsia="Times New Roman" w:hAnsi="Arial" w:cs="Arial"/>
        </w:rPr>
      </w:pPr>
      <w:r w:rsidRPr="00586F11">
        <w:rPr>
          <w:rFonts w:ascii="Arial" w:eastAsia="Times New Roman" w:hAnsi="Arial" w:cs="Arial"/>
          <w:b/>
          <w:bCs/>
        </w:rPr>
        <w:t>ATF4:</w:t>
      </w:r>
      <w:r w:rsidRPr="00586F11">
        <w:rPr>
          <w:rFonts w:ascii="Arial" w:eastAsia="Times New Roman" w:hAnsi="Arial" w:cs="Arial"/>
        </w:rPr>
        <w:t xml:space="preserve"> This TF is a core component of the </w:t>
      </w:r>
      <w:r w:rsidRPr="00586F11">
        <w:rPr>
          <w:rFonts w:ascii="Arial" w:eastAsia="Times New Roman" w:hAnsi="Arial" w:cs="Arial"/>
          <w:b/>
          <w:bCs/>
        </w:rPr>
        <w:t>Integrated Stress Response (ISR)</w:t>
      </w:r>
      <w:r w:rsidRPr="00586F11">
        <w:rPr>
          <w:rFonts w:ascii="Arial" w:eastAsia="Times New Roman" w:hAnsi="Arial" w:cs="Arial"/>
        </w:rPr>
        <w:t xml:space="preserve">. While it has roles in development, its most significant interrelationship is with neurodegeneration. ATF4 is upregulated in response to various stressors, including oxidative stress and protein </w:t>
      </w:r>
      <w:proofErr w:type="spellStart"/>
      <w:r w:rsidRPr="00586F11">
        <w:rPr>
          <w:rFonts w:ascii="Arial" w:eastAsia="Times New Roman" w:hAnsi="Arial" w:cs="Arial"/>
        </w:rPr>
        <w:t>misfolding</w:t>
      </w:r>
      <w:proofErr w:type="spellEnd"/>
      <w:r w:rsidRPr="00586F11">
        <w:rPr>
          <w:rFonts w:ascii="Arial" w:eastAsia="Times New Roman" w:hAnsi="Arial" w:cs="Arial"/>
        </w:rPr>
        <w:t xml:space="preserve">, which are hallmarks of neurodegenerative diseases. It acts as a complex switch, promoting either cell survival or death depending on the context. In the </w:t>
      </w:r>
      <w:r w:rsidRPr="00586F11">
        <w:rPr>
          <w:rFonts w:ascii="Arial" w:eastAsia="Times New Roman" w:hAnsi="Arial" w:cs="Arial"/>
          <w:b/>
          <w:bCs/>
        </w:rPr>
        <w:t xml:space="preserve">substantia </w:t>
      </w:r>
      <w:proofErr w:type="spellStart"/>
      <w:r w:rsidRPr="00586F11">
        <w:rPr>
          <w:rFonts w:ascii="Arial" w:eastAsia="Times New Roman" w:hAnsi="Arial" w:cs="Arial"/>
          <w:b/>
          <w:bCs/>
        </w:rPr>
        <w:t>nigra</w:t>
      </w:r>
      <w:proofErr w:type="spellEnd"/>
      <w:r w:rsidRPr="00586F11">
        <w:rPr>
          <w:rFonts w:ascii="Arial" w:eastAsia="Times New Roman" w:hAnsi="Arial" w:cs="Arial"/>
        </w:rPr>
        <w:t>, elevated ATF4 can promote the death of dopaminergic neurons, directly impacting the progression of diseases like Parkinson's. This places ATF4 at the intersection of our analyses.</w:t>
      </w:r>
    </w:p>
    <w:p w:rsidR="00201DC1" w:rsidRPr="00586F11" w:rsidRDefault="00201DC1" w:rsidP="00CD7823">
      <w:pPr>
        <w:spacing w:before="100" w:beforeAutospacing="1" w:after="100" w:afterAutospacing="1" w:line="240" w:lineRule="auto"/>
        <w:rPr>
          <w:rFonts w:ascii="Arial" w:eastAsia="Times New Roman" w:hAnsi="Arial" w:cs="Arial"/>
        </w:rPr>
      </w:pPr>
      <w:r w:rsidRPr="00586F11">
        <w:rPr>
          <w:rFonts w:ascii="Arial" w:eastAsia="Times New Roman" w:hAnsi="Arial" w:cs="Arial"/>
          <w:b/>
          <w:bCs/>
        </w:rPr>
        <w:t>SMAD2:</w:t>
      </w:r>
      <w:r w:rsidRPr="00586F11">
        <w:rPr>
          <w:rFonts w:ascii="Arial" w:eastAsia="Times New Roman" w:hAnsi="Arial" w:cs="Arial"/>
        </w:rPr>
        <w:t xml:space="preserve"> This TF is a key mediator of the </w:t>
      </w:r>
      <w:r w:rsidRPr="00586F11">
        <w:rPr>
          <w:rFonts w:ascii="Arial" w:eastAsia="Times New Roman" w:hAnsi="Arial" w:cs="Arial"/>
          <w:b/>
          <w:bCs/>
        </w:rPr>
        <w:t>TGF-β signaling pathway</w:t>
      </w:r>
      <w:r w:rsidRPr="00586F11">
        <w:rPr>
          <w:rFonts w:ascii="Arial" w:eastAsia="Times New Roman" w:hAnsi="Arial" w:cs="Arial"/>
        </w:rPr>
        <w:t xml:space="preserve">, which is involved in a vast array of cellular processes, including cell proliferation, differentiation, and apoptosis. In the developing brain, SMAD2 regulates the fate of neural stem cells. In the mature brain, it influences </w:t>
      </w:r>
      <w:r w:rsidRPr="00586F11">
        <w:rPr>
          <w:rFonts w:ascii="Arial" w:eastAsia="Times New Roman" w:hAnsi="Arial" w:cs="Arial"/>
          <w:b/>
          <w:bCs/>
        </w:rPr>
        <w:t>hippocampal neuroplasticity</w:t>
      </w:r>
      <w:r w:rsidRPr="00586F11">
        <w:rPr>
          <w:rFonts w:ascii="Arial" w:eastAsia="Times New Roman" w:hAnsi="Arial" w:cs="Arial"/>
        </w:rPr>
        <w:t>, impacting both neurogenesis and learning and memory. Its dysregulation can contribute to neuronal dysfunction and loss, and it provides a direct link between a major signaling pathway and the function of the limbic system.</w:t>
      </w:r>
    </w:p>
    <w:p w:rsidR="00CD7823" w:rsidRDefault="00201DC1" w:rsidP="00CD7823">
      <w:pPr>
        <w:spacing w:before="100" w:beforeAutospacing="1" w:after="100" w:afterAutospacing="1" w:line="240" w:lineRule="auto"/>
        <w:rPr>
          <w:rFonts w:ascii="Arial" w:eastAsia="Times New Roman" w:hAnsi="Arial" w:cs="Arial"/>
        </w:rPr>
      </w:pPr>
      <w:r w:rsidRPr="00586F11">
        <w:rPr>
          <w:rFonts w:ascii="Arial" w:eastAsia="Times New Roman" w:hAnsi="Arial" w:cs="Arial"/>
          <w:b/>
          <w:bCs/>
        </w:rPr>
        <w:t>GATA6 &amp; GATA4:</w:t>
      </w:r>
      <w:r w:rsidRPr="00586F11">
        <w:rPr>
          <w:rFonts w:ascii="Arial" w:eastAsia="Times New Roman" w:hAnsi="Arial" w:cs="Arial"/>
        </w:rPr>
        <w:t xml:space="preserve"> Like CDX2, these are primarily known for their roles in endoderm and mesoderm development, guiding the formation of the heart and gut. However, given the growing understanding of the </w:t>
      </w:r>
      <w:r w:rsidRPr="00586F11">
        <w:rPr>
          <w:rFonts w:ascii="Arial" w:eastAsia="Times New Roman" w:hAnsi="Arial" w:cs="Arial"/>
          <w:b/>
          <w:bCs/>
        </w:rPr>
        <w:t>gut-brain axis</w:t>
      </w:r>
      <w:r w:rsidRPr="00586F11">
        <w:rPr>
          <w:rFonts w:ascii="Arial" w:eastAsia="Times New Roman" w:hAnsi="Arial" w:cs="Arial"/>
        </w:rPr>
        <w:t>, their influence on gut function (gut microbiota, intestinal permeability, etc.) could indirectly impact the central nervous system and influence emotional and neurodegenerative states.</w:t>
      </w:r>
    </w:p>
    <w:p w:rsidR="00201DC1" w:rsidRPr="00586F11" w:rsidRDefault="00201DC1" w:rsidP="00CD7823">
      <w:pPr>
        <w:spacing w:before="100" w:beforeAutospacing="1" w:after="100" w:afterAutospacing="1" w:line="240" w:lineRule="auto"/>
        <w:rPr>
          <w:rFonts w:ascii="Arial" w:eastAsia="Times New Roman" w:hAnsi="Arial" w:cs="Arial"/>
        </w:rPr>
      </w:pPr>
      <w:r w:rsidRPr="00586F11">
        <w:rPr>
          <w:rFonts w:ascii="Arial" w:eastAsia="Times New Roman" w:hAnsi="Arial" w:cs="Arial"/>
          <w:b/>
          <w:bCs/>
        </w:rPr>
        <w:t>TEAD4:</w:t>
      </w:r>
      <w:r w:rsidRPr="00586F11">
        <w:rPr>
          <w:rFonts w:ascii="Arial" w:eastAsia="Times New Roman" w:hAnsi="Arial" w:cs="Arial"/>
        </w:rPr>
        <w:t xml:space="preserve"> As a key effector of the </w:t>
      </w:r>
      <w:r w:rsidRPr="00586F11">
        <w:rPr>
          <w:rFonts w:ascii="Arial" w:eastAsia="Times New Roman" w:hAnsi="Arial" w:cs="Arial"/>
          <w:b/>
          <w:bCs/>
        </w:rPr>
        <w:t>Hippo signaling pathway</w:t>
      </w:r>
      <w:r w:rsidRPr="00586F11">
        <w:rPr>
          <w:rFonts w:ascii="Arial" w:eastAsia="Times New Roman" w:hAnsi="Arial" w:cs="Arial"/>
        </w:rPr>
        <w:t>, TEAD4 primarily regulates organ size and cell proliferation. While its canonical role is not in neuroscience, its involvement in cell growth and tissue homeostasis means it can impact neural progenitor proliferation and the cellular dynamics of the brain.</w:t>
      </w:r>
    </w:p>
    <w:p w:rsidR="00201DC1" w:rsidRPr="00586F11" w:rsidRDefault="00201DC1" w:rsidP="00201DC1">
      <w:pPr>
        <w:spacing w:before="100" w:beforeAutospacing="1" w:after="100" w:afterAutospacing="1" w:line="240" w:lineRule="auto"/>
        <w:rPr>
          <w:rFonts w:ascii="Arial" w:eastAsia="Times New Roman" w:hAnsi="Arial" w:cs="Arial"/>
        </w:rPr>
      </w:pPr>
      <w:r w:rsidRPr="00586F11">
        <w:rPr>
          <w:rFonts w:ascii="Arial" w:eastAsia="Times New Roman" w:hAnsi="Arial" w:cs="Arial"/>
        </w:rPr>
        <w:lastRenderedPageBreak/>
        <w:t xml:space="preserve">The interplay between these early developmental TFs and the later homeostatic networks is complex and can be seen as a two-part process. First, proper development, orchestrated by TFs like </w:t>
      </w:r>
      <w:r w:rsidRPr="00586F11">
        <w:rPr>
          <w:rFonts w:ascii="Arial" w:eastAsia="Times New Roman" w:hAnsi="Arial" w:cs="Arial"/>
          <w:b/>
          <w:bCs/>
        </w:rPr>
        <w:t>OTX2</w:t>
      </w:r>
      <w:r w:rsidRPr="00586F11">
        <w:rPr>
          <w:rFonts w:ascii="Arial" w:eastAsia="Times New Roman" w:hAnsi="Arial" w:cs="Arial"/>
        </w:rPr>
        <w:t xml:space="preserve"> and </w:t>
      </w:r>
      <w:r w:rsidRPr="00586F11">
        <w:rPr>
          <w:rFonts w:ascii="Arial" w:eastAsia="Times New Roman" w:hAnsi="Arial" w:cs="Arial"/>
          <w:b/>
          <w:bCs/>
        </w:rPr>
        <w:t>LHX2</w:t>
      </w:r>
      <w:r w:rsidRPr="00586F11">
        <w:rPr>
          <w:rFonts w:ascii="Arial" w:eastAsia="Times New Roman" w:hAnsi="Arial" w:cs="Arial"/>
        </w:rPr>
        <w:t xml:space="preserve">, is a prerequisite for a healthy brain. If this initial scaffolding is faulty, it can predispose specific brain regions, such as the </w:t>
      </w:r>
      <w:r w:rsidRPr="00586F11">
        <w:rPr>
          <w:rFonts w:ascii="Arial" w:eastAsia="Times New Roman" w:hAnsi="Arial" w:cs="Arial"/>
          <w:b/>
          <w:bCs/>
        </w:rPr>
        <w:t>limbic system</w:t>
      </w:r>
      <w:r w:rsidRPr="00586F11">
        <w:rPr>
          <w:rFonts w:ascii="Arial" w:eastAsia="Times New Roman" w:hAnsi="Arial" w:cs="Arial"/>
        </w:rPr>
        <w:t xml:space="preserve"> and </w:t>
      </w:r>
      <w:r w:rsidRPr="00586F11">
        <w:rPr>
          <w:rFonts w:ascii="Arial" w:eastAsia="Times New Roman" w:hAnsi="Arial" w:cs="Arial"/>
          <w:b/>
          <w:bCs/>
        </w:rPr>
        <w:t xml:space="preserve">substantia </w:t>
      </w:r>
      <w:proofErr w:type="spellStart"/>
      <w:r w:rsidRPr="00586F11">
        <w:rPr>
          <w:rFonts w:ascii="Arial" w:eastAsia="Times New Roman" w:hAnsi="Arial" w:cs="Arial"/>
          <w:b/>
          <w:bCs/>
        </w:rPr>
        <w:t>nigra</w:t>
      </w:r>
      <w:proofErr w:type="spellEnd"/>
      <w:r w:rsidRPr="00586F11">
        <w:rPr>
          <w:rFonts w:ascii="Arial" w:eastAsia="Times New Roman" w:hAnsi="Arial" w:cs="Arial"/>
        </w:rPr>
        <w:t xml:space="preserve">, to later dysfunction. Second, TFs with dual functions, such as </w:t>
      </w:r>
      <w:r w:rsidRPr="00586F11">
        <w:rPr>
          <w:rFonts w:ascii="Arial" w:eastAsia="Times New Roman" w:hAnsi="Arial" w:cs="Arial"/>
          <w:b/>
          <w:bCs/>
        </w:rPr>
        <w:t>ATF4</w:t>
      </w:r>
      <w:r w:rsidRPr="00586F11">
        <w:rPr>
          <w:rFonts w:ascii="Arial" w:eastAsia="Times New Roman" w:hAnsi="Arial" w:cs="Arial"/>
        </w:rPr>
        <w:t xml:space="preserve"> and </w:t>
      </w:r>
      <w:r w:rsidRPr="00586F11">
        <w:rPr>
          <w:rFonts w:ascii="Arial" w:eastAsia="Times New Roman" w:hAnsi="Arial" w:cs="Arial"/>
          <w:b/>
          <w:bCs/>
        </w:rPr>
        <w:t>SMAD2</w:t>
      </w:r>
      <w:r w:rsidRPr="00586F11">
        <w:rPr>
          <w:rFonts w:ascii="Arial" w:eastAsia="Times New Roman" w:hAnsi="Arial" w:cs="Arial"/>
        </w:rPr>
        <w:t>, act as a bridge, responding to stressors in the matur</w:t>
      </w:r>
      <w:r w:rsidR="00CD7823">
        <w:rPr>
          <w:rFonts w:ascii="Arial" w:eastAsia="Times New Roman" w:hAnsi="Arial" w:cs="Arial"/>
        </w:rPr>
        <w:t xml:space="preserve">e brain and influencing the </w:t>
      </w:r>
      <w:r w:rsidRPr="00586F11">
        <w:rPr>
          <w:rFonts w:ascii="Arial" w:eastAsia="Times New Roman" w:hAnsi="Arial" w:cs="Arial"/>
        </w:rPr>
        <w:t>homeostatic and emotion</w:t>
      </w:r>
      <w:r w:rsidR="00CD7823">
        <w:rPr>
          <w:rFonts w:ascii="Arial" w:eastAsia="Times New Roman" w:hAnsi="Arial" w:cs="Arial"/>
        </w:rPr>
        <w:t>al networks</w:t>
      </w:r>
      <w:r w:rsidRPr="00586F11">
        <w:rPr>
          <w:rFonts w:ascii="Arial" w:eastAsia="Times New Roman" w:hAnsi="Arial" w:cs="Arial"/>
        </w:rPr>
        <w:t>.</w:t>
      </w:r>
      <w:r w:rsidR="00A404DE">
        <w:rPr>
          <w:rFonts w:ascii="Arial" w:eastAsia="Times New Roman" w:hAnsi="Arial" w:cs="Arial"/>
        </w:rPr>
        <w:t xml:space="preserve"> On a developmental scale, the regulatory effects of these TFs on brain development and functions extends from the neural tube formation to adolescence and adulthood. </w:t>
      </w:r>
    </w:p>
    <w:p w:rsidR="00F55A2F" w:rsidRPr="00586F11" w:rsidRDefault="00F55A2F">
      <w:pPr>
        <w:rPr>
          <w:rFonts w:ascii="Arial" w:hAnsi="Arial" w:cs="Arial"/>
        </w:rPr>
      </w:pPr>
    </w:p>
    <w:sectPr w:rsidR="00F55A2F" w:rsidRPr="00586F11" w:rsidSect="00201DC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F7E56"/>
    <w:multiLevelType w:val="multilevel"/>
    <w:tmpl w:val="0EF4F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0A27E4"/>
    <w:multiLevelType w:val="multilevel"/>
    <w:tmpl w:val="137CC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2D07C3"/>
    <w:multiLevelType w:val="multilevel"/>
    <w:tmpl w:val="08AE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4205D7"/>
    <w:multiLevelType w:val="multilevel"/>
    <w:tmpl w:val="94A0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DC1"/>
    <w:rsid w:val="001977D8"/>
    <w:rsid w:val="00201DC1"/>
    <w:rsid w:val="0021022B"/>
    <w:rsid w:val="00267EE5"/>
    <w:rsid w:val="00393DFE"/>
    <w:rsid w:val="00586F11"/>
    <w:rsid w:val="005F32B5"/>
    <w:rsid w:val="007B6973"/>
    <w:rsid w:val="00A404DE"/>
    <w:rsid w:val="00C7240E"/>
    <w:rsid w:val="00CD7823"/>
    <w:rsid w:val="00F55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56D001-7F95-4BC1-8D0E-9589A530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201D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1DC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01D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abel">
    <w:name w:val="label"/>
    <w:basedOn w:val="DefaultParagraphFont"/>
    <w:rsid w:val="00201DC1"/>
  </w:style>
  <w:style w:type="character" w:customStyle="1" w:styleId="mord">
    <w:name w:val="mord"/>
    <w:basedOn w:val="DefaultParagraphFont"/>
    <w:rsid w:val="00201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518893">
      <w:bodyDiv w:val="1"/>
      <w:marLeft w:val="0"/>
      <w:marRight w:val="0"/>
      <w:marTop w:val="0"/>
      <w:marBottom w:val="0"/>
      <w:divBdr>
        <w:top w:val="none" w:sz="0" w:space="0" w:color="auto"/>
        <w:left w:val="none" w:sz="0" w:space="0" w:color="auto"/>
        <w:bottom w:val="none" w:sz="0" w:space="0" w:color="auto"/>
        <w:right w:val="none" w:sz="0" w:space="0" w:color="auto"/>
      </w:divBdr>
      <w:divsChild>
        <w:div w:id="1940605076">
          <w:marLeft w:val="0"/>
          <w:marRight w:val="0"/>
          <w:marTop w:val="0"/>
          <w:marBottom w:val="0"/>
          <w:divBdr>
            <w:top w:val="none" w:sz="0" w:space="0" w:color="auto"/>
            <w:left w:val="none" w:sz="0" w:space="0" w:color="auto"/>
            <w:bottom w:val="none" w:sz="0" w:space="0" w:color="auto"/>
            <w:right w:val="none" w:sz="0" w:space="0" w:color="auto"/>
          </w:divBdr>
          <w:divsChild>
            <w:div w:id="1293360873">
              <w:marLeft w:val="0"/>
              <w:marRight w:val="0"/>
              <w:marTop w:val="0"/>
              <w:marBottom w:val="0"/>
              <w:divBdr>
                <w:top w:val="none" w:sz="0" w:space="0" w:color="auto"/>
                <w:left w:val="none" w:sz="0" w:space="0" w:color="auto"/>
                <w:bottom w:val="none" w:sz="0" w:space="0" w:color="auto"/>
                <w:right w:val="none" w:sz="0" w:space="0" w:color="auto"/>
              </w:divBdr>
              <w:divsChild>
                <w:div w:id="1415710082">
                  <w:marLeft w:val="0"/>
                  <w:marRight w:val="0"/>
                  <w:marTop w:val="0"/>
                  <w:marBottom w:val="0"/>
                  <w:divBdr>
                    <w:top w:val="none" w:sz="0" w:space="0" w:color="auto"/>
                    <w:left w:val="none" w:sz="0" w:space="0" w:color="auto"/>
                    <w:bottom w:val="none" w:sz="0" w:space="0" w:color="auto"/>
                    <w:right w:val="none" w:sz="0" w:space="0" w:color="auto"/>
                  </w:divBdr>
                  <w:divsChild>
                    <w:div w:id="45260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8</cp:revision>
  <dcterms:created xsi:type="dcterms:W3CDTF">2025-09-25T19:32:00Z</dcterms:created>
  <dcterms:modified xsi:type="dcterms:W3CDTF">2025-10-02T05:54:00Z</dcterms:modified>
</cp:coreProperties>
</file>